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„Investment Funds”, Sweet &amp; Maxwell International Series z udziałem prawników DFJ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Prawnicy Kancelarii Prawnej Dubiński Fabrycki Jeleński i Wspólnicy zostali wybrani jako współautor trzeciej edycji międzynarodowej serii publikacji „Investment Funds” wydawanej przez Sweet &amp; Maxwell - czołowego brytyjskiego wydawcę specjalizującego się w profesjonalnych publikacjach prawniczych, należącego do grupy Thomson Reuters, jednej z największych na świecie multimedialnych agencji informacyjnych.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„Investment Funds” zawiera globalną analizę porównawczą regulacji prawnych dotyczących tworzenia i funkcjonowania funduszy inwestycyjnych w ponad 30 najbardziej liczących się jurysdykcjach na świecie, w których rynek ten aktywnie działa. Poszczególne części, odpowiednio dla danego kraju, napisane zostały przez wiodących praktyków na danym rynku, specjalizujących się w tematyce funduszy inwestycyjnych. Pozycja ta przeznaczona jest dla osób zainteresowanych tematyką funkcjonowania instytucji zbiorowego inwestowania, w tym m.in. zarządzających funduszami inwestycyjnymi, prawników i doradców.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2016 r. ukazało się najnowsze, trzecie wydanie z tej serii, przy tworzeniu którego udział mieli również prawnicy Kancelarii Dubiński Fabrycki Jeleński i Wspólnicy.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polskiej części publikacji są Tomasz Masiarz – Wspólnik Kancelarii, kierujący praktyką w zakresie funduszy inwestycyjnych oraz adwokat Rafał Lidke, związany z Kancelarią od blisko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Dubiński Fabrycki Jeleński i Wspólnicy należy do wiodących polskich firm prawniczych wyspecjalizowanych w prawie gospodarczym. </w:t>
      </w:r>
      <w:r>
        <w:rPr>
          <w:rFonts w:ascii="calibri" w:hAnsi="calibri" w:eastAsia="calibri" w:cs="calibri"/>
          <w:sz w:val="24"/>
          <w:szCs w:val="24"/>
          <w:b/>
        </w:rPr>
        <w:t xml:space="preserve">Kancelaria zatrudnia ponad 30 prawników, a jej partnerzy są uznanymi specjalistami w swoich dziedzinach.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Jarosław Dubiński, Wojciech Fabrycki i Kazimierz Jeleński stworzyli firmę z unikalnymi kompetencjami, łączącą walory polskiej kancelarii z doświadczeniami wyniesionymi z międzynarodowych kancelarii prawnych. Kancelaria Prawna Dubiński Fabrycki Jeleński i Wspólnicy posiada unikalne i największe na rynku polskim doświadczenie w zakresie tworzenia towarzystw funduszy inwestycyjnych, funduszy inwestycyjnych oraz bieżącej obsługi działalności tych podmiotów. Kancelaria osiągnęła bardzo wysoką specjalizację w doradztwie prawnym z zakresu przepisów regulujących funkcjonowanie funduszy inwestycyjnych.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www.dfj-law.pl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fj-l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2026-02-01T10:40:16+01:00</dcterms:created>
  <dcterms:modified xsi:type="dcterms:W3CDTF">2026-02-01T10:40:16+01:00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