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Kancelaria Dubiński Fabrycki Jeleński uczestniczyła w IV Kongresie Regulacji Prawnych z Obszaru Zarządzania Wierzytelnościami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Mecenas Kazimierz Jeleński, radca prawny, partner w kancelarii Dubiński Fabrycki Jeleński i Wspólnicy, uczestniczył w dyskusji dotyczącej nowych przepisów z zakresu restrukturyzacji, podczas IV Kongresu Regulacji Prawnych z Obszaru Zarządzania Wierzytelnościami, który co roku organizuje Konfederacja Przedsiębiorstw Finansowych w Polsce. Mecenas Jeleński przedstawił wątpliwości dotyczące nowych przepisów i ich interpretacji.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stycznia 2016 roku weszły w życie nowe przepisy w zakresie prawa restrukturyzacyjnego. Zdaniem </w:t>
      </w:r>
    </w:p>
    <w:p>
      <w:r>
        <w:rPr>
          <w:rFonts w:ascii="calibri" w:hAnsi="calibri" w:eastAsia="calibri" w:cs="calibri"/>
          <w:sz w:val="24"/>
          <w:szCs w:val="24"/>
        </w:rPr>
        <w:t xml:space="preserve"> mec. Jeleńskiego ustawa zwiększa efektywność procedur układowych. W oparciu o nowe przepisy wierzyciele uzyskali także większy wpływ na powoływanie i skład Rady Wierzycieli. Niestety nowe uprawnienia dotyczące wpływu wierzycieli na skład Rady Wierzycieli powiązane zostały z przepisami wyłączającymi dostęp Rady Wierzycieli do istotnych informacji i dokumentów dotyczących dłużnika. Rada Wierzycieli pozbawiona została bowiem dostępu do informacji stanowiących tajemnicę przedsiębiorstwa. Rodzi to pytanie, czy Rada Wierzycieli odcięta od istotnych informacji będzie w stanie efektywnie nadzorować przebieg procesów restrukturyzacyjnych. Kolejne wątpliwości zdaniem mec. Jeleńskiego rodzi analiza przepisów o postępowaniu sanacyjnym. Dotyczy to w szczególności przepisów wyłączających prowadzenie jakiejkolwiek egzekucji wobec masy sanacyjnej oraz przepisów umożliwiających stwierdzenie bezskuteczności zabezpieczeń ustanowionych w okresie 12 miesięcy przed otwarciem postępowania sanacyjnego. Zdaniem mec. Jeleńskiego, w postępowaniu sanacyjnym łatwiej będzie pozbawić wierzyciela zabezpieczenia, niż przekonać go do udzielenia dłużnikowi finansowania koniecznego do prowadzenia działalności i przeprowadzenia restrukturyzacji przedsiębiorstwa. Istnieje więc ryzyko, że procesy sanacyjne będą wykorzystywane nie tyle dla odbudowy wartości restrukturyzowanych przedsiębiorstw we współpracy z wierzycielami, co w celu redefiniowania relacji dłużnika z wierzycielami i ograniczania posiadanych przez wierzycieli zabezpieczeń.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panelu dyskusyjnym udział wzięli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Bartosz Groele</w:t>
      </w:r>
      <w:r>
        <w:rPr>
          <w:rFonts w:ascii="calibri" w:hAnsi="calibri" w:eastAsia="calibri" w:cs="calibri"/>
          <w:sz w:val="24"/>
          <w:szCs w:val="24"/>
        </w:rPr>
        <w:t xml:space="preserve">, Wiceprezes Instytutu Allerhanda,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Chromińska</w:t>
      </w:r>
      <w:r>
        <w:rPr>
          <w:rFonts w:ascii="calibri" w:hAnsi="calibri" w:eastAsia="calibri" w:cs="calibri"/>
          <w:sz w:val="24"/>
          <w:szCs w:val="24"/>
        </w:rPr>
        <w:t xml:space="preserve">, Dyrektor ds. Windykacji Sądowej w kancelarii prawnej EOS &amp; M. Witoń, </w:t>
      </w:r>
      <w:r>
        <w:rPr>
          <w:rFonts w:ascii="calibri" w:hAnsi="calibri" w:eastAsia="calibri" w:cs="calibri"/>
          <w:sz w:val="24"/>
          <w:szCs w:val="24"/>
          <w:b/>
        </w:rPr>
        <w:t xml:space="preserve">Jacek Goliński</w:t>
      </w:r>
      <w:r>
        <w:rPr>
          <w:rFonts w:ascii="calibri" w:hAnsi="calibri" w:eastAsia="calibri" w:cs="calibri"/>
          <w:sz w:val="24"/>
          <w:szCs w:val="24"/>
        </w:rPr>
        <w:t xml:space="preserve">, Dyrektor Departamentu Restrukturyzacji Kredytów Korporacyjnych i Zarządzania Aktywami w BZ WBK SA, oraz </w:t>
      </w:r>
      <w:r>
        <w:rPr>
          <w:rFonts w:ascii="calibri" w:hAnsi="calibri" w:eastAsia="calibri" w:cs="calibri"/>
          <w:sz w:val="24"/>
          <w:szCs w:val="24"/>
          <w:b/>
        </w:rPr>
        <w:t xml:space="preserve">Marcin Czugan</w:t>
      </w:r>
      <w:r>
        <w:rPr>
          <w:rFonts w:ascii="calibri" w:hAnsi="calibri" w:eastAsia="calibri" w:cs="calibri"/>
          <w:sz w:val="24"/>
          <w:szCs w:val="24"/>
        </w:rPr>
        <w:t xml:space="preserve">, Dyrektor Departamentu Prawno-Legislacyjnego KPF.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2026-07-03T13:50:07+02:00</dcterms:created>
  <dcterms:modified xsi:type="dcterms:W3CDTF">2026-07-03T13:50:07+02:00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